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FB6" w:rsidRDefault="004F5FB6" w:rsidP="00FE7B11">
      <w:pPr>
        <w:rPr>
          <w:b/>
          <w:sz w:val="24"/>
        </w:rPr>
      </w:pPr>
      <w:bookmarkStart w:id="0" w:name="_GoBack"/>
      <w:bookmarkEnd w:id="0"/>
      <w:r w:rsidRPr="004F5FB6">
        <w:rPr>
          <w:rFonts w:hint="eastAsia"/>
          <w:b/>
          <w:sz w:val="24"/>
        </w:rPr>
        <w:t>易科智</w:t>
      </w:r>
      <w:r w:rsidRPr="004F5FB6">
        <w:rPr>
          <w:rFonts w:ascii="微软雅黑" w:eastAsia="微软雅黑" w:hAnsi="微软雅黑" w:cs="微软雅黑" w:hint="eastAsia"/>
          <w:b/>
          <w:sz w:val="24"/>
        </w:rPr>
        <w:t>连</w:t>
      </w:r>
      <w:r w:rsidRPr="004F5FB6">
        <w:rPr>
          <w:b/>
          <w:sz w:val="24"/>
        </w:rPr>
        <w:t xml:space="preserve">KT-DT 7 </w:t>
      </w:r>
      <w:r w:rsidRPr="004F5FB6">
        <w:rPr>
          <w:b/>
          <w:sz w:val="24"/>
        </w:rPr>
        <w:t>和</w:t>
      </w:r>
      <w:r w:rsidRPr="004F5FB6">
        <w:rPr>
          <w:b/>
          <w:sz w:val="24"/>
        </w:rPr>
        <w:t xml:space="preserve"> KT-DT 8</w:t>
      </w:r>
      <w:r w:rsidRPr="004F5FB6">
        <w:rPr>
          <w:rFonts w:hint="eastAsia"/>
          <w:b/>
          <w:sz w:val="24"/>
        </w:rPr>
        <w:t>穿芯</w:t>
      </w:r>
    </w:p>
    <w:p w:rsidR="004F5FB6" w:rsidRDefault="004F5FB6" w:rsidP="004F5FB6">
      <w:pPr>
        <w:pStyle w:val="ab"/>
        <w:shd w:val="clear" w:color="auto" w:fill="FFFFFF"/>
        <w:spacing w:after="150"/>
        <w:rPr>
          <w:rFonts w:ascii="Microsoft JhengHei" w:eastAsia="宋体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</w:pPr>
      <w:proofErr w:type="gramStart"/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易科智连</w:t>
      </w:r>
      <w:proofErr w:type="gramEnd"/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KT</w:t>
      </w:r>
      <w:r w:rsidRPr="004F5FB6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>-</w:t>
      </w:r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DT</w:t>
      </w:r>
      <w:proofErr w:type="gramStart"/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电缆穿芯适用于</w:t>
      </w:r>
      <w:proofErr w:type="gramEnd"/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需要引入大量电动、气动或液压管线，并且需要IP</w:t>
      </w:r>
      <w:r w:rsidRPr="004F5FB6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>54</w:t>
      </w:r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（UL</w:t>
      </w:r>
      <w:r w:rsidRPr="004F5FB6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 xml:space="preserve"> </w:t>
      </w:r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type</w:t>
      </w:r>
      <w:r w:rsidRPr="004F5FB6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 xml:space="preserve"> 12</w:t>
      </w:r>
      <w:r w:rsidRPr="004F5FB6">
        <w:rPr>
          <w:rFonts w:ascii="Microsoft JhengHei" w:eastAsia="Microsoft JhengHei" w:hAnsi="Microsoft JhengHei" w:cs="宋体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）密封防护的场合。</w:t>
      </w:r>
    </w:p>
    <w:p w:rsidR="004F5FB6" w:rsidRPr="004F5FB6" w:rsidRDefault="004F5FB6" w:rsidP="004F5FB6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通过使用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KT-DT 7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，最多可以引入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4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根直径达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6 mm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的电缆。使用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KT-DT 8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，可以分别引入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7 mm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或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4 mm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的电缆各两根。由于采用了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KT-DT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系列穿芯，电缆的安装密度得到明显提高。</w:t>
      </w:r>
    </w:p>
    <w:p w:rsidR="004F5FB6" w:rsidRPr="004F5FB6" w:rsidRDefault="004F5FB6" w:rsidP="004F5FB6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KT-DT</w:t>
      </w:r>
      <w:proofErr w:type="gramStart"/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穿芯完全兼容易科智连</w:t>
      </w:r>
      <w:proofErr w:type="gramEnd"/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可分电缆引入框架，例如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KEL-U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 xml:space="preserve">KEL 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KEL-FG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系列。因此，可以轻松的将带有和不带预组装连接器的电缆组合在一起，并布线到电缆引入框架内。另外，</w:t>
      </w:r>
      <w:r w:rsidRPr="004F5FB6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KT-DT</w:t>
      </w:r>
      <w:proofErr w:type="gramStart"/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穿芯也</w:t>
      </w:r>
      <w:proofErr w:type="gramEnd"/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非常适合电缆的改造。可以实现各个模块的预组装。</w:t>
      </w:r>
    </w:p>
    <w:p w:rsidR="004F5FB6" w:rsidRDefault="004F5FB6" w:rsidP="004F5FB6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新款电缆</w:t>
      </w:r>
      <w:proofErr w:type="gramStart"/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穿芯也</w:t>
      </w:r>
      <w:proofErr w:type="gramEnd"/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提供</w:t>
      </w:r>
      <w:r w:rsidRPr="004F5FB6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ATEX</w:t>
      </w:r>
      <w:r w:rsidRPr="004F5FB6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版本。</w:t>
      </w:r>
    </w:p>
    <w:p w:rsidR="004F5FB6" w:rsidRDefault="004F5FB6" w:rsidP="004F5FB6">
      <w:pPr>
        <w:pStyle w:val="ab"/>
        <w:shd w:val="clear" w:color="auto" w:fill="FFFFFF"/>
        <w:spacing w:after="150"/>
        <w:rPr>
          <w:rFonts w:asciiTheme="minorHAnsi" w:eastAsia="宋体" w:hAnsiTheme="minorHAnsi" w:cstheme="minorBidi"/>
          <w:iCs/>
          <w:kern w:val="2"/>
          <w:sz w:val="20"/>
          <w:szCs w:val="20"/>
          <w:lang w:val="en-US" w:eastAsia="zh-CN"/>
        </w:rPr>
      </w:pPr>
      <w:hyperlink r:id="rId7" w:history="1">
        <w:r w:rsidRPr="002F2A5C">
          <w:rPr>
            <w:rStyle w:val="a7"/>
            <w:rFonts w:asciiTheme="minorHAnsi" w:eastAsia="宋体" w:hAnsiTheme="minorHAnsi" w:cstheme="minorBidi"/>
            <w:iCs/>
            <w:kern w:val="2"/>
            <w:sz w:val="20"/>
            <w:szCs w:val="20"/>
            <w:lang w:val="en-US" w:eastAsia="zh-CN"/>
          </w:rPr>
          <w:t>https://www.icotek.cn/zh/p/grommets/kt-dt</w:t>
        </w:r>
      </w:hyperlink>
    </w:p>
    <w:p w:rsidR="004F5FB6" w:rsidRDefault="004F5FB6" w:rsidP="004F5FB6">
      <w:pPr>
        <w:pStyle w:val="ab"/>
        <w:shd w:val="clear" w:color="auto" w:fill="FFFFFF"/>
        <w:spacing w:after="150"/>
        <w:rPr>
          <w:rFonts w:asciiTheme="minorHAnsi" w:eastAsia="宋体" w:hAnsiTheme="minorHAnsi" w:cstheme="minorBidi"/>
          <w:iCs/>
          <w:kern w:val="2"/>
          <w:sz w:val="20"/>
          <w:szCs w:val="20"/>
          <w:lang w:val="en-US" w:eastAsia="zh-CN"/>
        </w:rPr>
      </w:pPr>
      <w:r>
        <w:rPr>
          <w:noProof/>
        </w:rPr>
        <w:drawing>
          <wp:inline distT="0" distB="0" distL="0" distR="0">
            <wp:extent cx="5760720" cy="3842091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FB6" w:rsidRPr="004F5FB6" w:rsidRDefault="004F5FB6" w:rsidP="004F5FB6">
      <w:pPr>
        <w:rPr>
          <w:rFonts w:cs="Arial" w:hint="eastAsia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sectPr w:rsidR="004F5FB6" w:rsidRPr="004F5FB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D48" w:rsidRDefault="009F5D48" w:rsidP="00565520">
      <w:pPr>
        <w:spacing w:after="0" w:line="240" w:lineRule="auto"/>
      </w:pPr>
      <w:r>
        <w:separator/>
      </w:r>
    </w:p>
  </w:endnote>
  <w:endnote w:type="continuationSeparator" w:id="0">
    <w:p w:rsidR="009F5D48" w:rsidRDefault="009F5D4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D48" w:rsidRDefault="009F5D48" w:rsidP="00565520">
      <w:pPr>
        <w:spacing w:after="0" w:line="240" w:lineRule="auto"/>
      </w:pPr>
      <w:r>
        <w:separator/>
      </w:r>
    </w:p>
  </w:footnote>
  <w:footnote w:type="continuationSeparator" w:id="0">
    <w:p w:rsidR="009F5D48" w:rsidRDefault="009F5D4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4F5FB6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9F5D48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2AA08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cotek.cn/zh/p/grommets/kt-d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2023-10-30T06:15:00Z</dcterms:created>
  <dcterms:modified xsi:type="dcterms:W3CDTF">2023-10-30T06:15:00Z</dcterms:modified>
</cp:coreProperties>
</file>